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D39" w:rsidRPr="00D53D39" w:rsidRDefault="00D53D39" w:rsidP="00D53D39">
      <w:pPr>
        <w:spacing w:after="200" w:line="276" w:lineRule="auto"/>
        <w:rPr>
          <w:rFonts w:ascii="Calibri" w:eastAsia="Calibri" w:hAnsi="Calibri" w:cs="Times New Roman"/>
        </w:rPr>
      </w:pPr>
      <w:r w:rsidRPr="00D53D39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-209550</wp:posOffset>
                </wp:positionV>
                <wp:extent cx="9286875" cy="714375"/>
                <wp:effectExtent l="0" t="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868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3D39" w:rsidRPr="00D53D39" w:rsidRDefault="00D53D39" w:rsidP="00D53D39">
                            <w:pPr>
                              <w:pStyle w:val="Title"/>
                              <w:jc w:val="center"/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</w:pPr>
                            <w:r w:rsidRPr="00D53D39"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  <w:t>Grade: First</w:t>
                            </w:r>
                          </w:p>
                          <w:p w:rsidR="00D53D39" w:rsidRPr="00D53D39" w:rsidRDefault="00D53D39" w:rsidP="00D53D39">
                            <w:pPr>
                              <w:pStyle w:val="Title"/>
                              <w:jc w:val="center"/>
                              <w:rPr>
                                <w:rFonts w:ascii="Calibri" w:hAnsi="Calibri"/>
                                <w:b/>
                                <w:sz w:val="48"/>
                                <w:szCs w:val="48"/>
                              </w:rPr>
                            </w:pPr>
                            <w:r w:rsidRPr="00D53D39"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  <w:t>Reading Workshop Curriculum Map: 2015-2016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25pt;margin-top:-16.5pt;width:731.2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">
                <v:textbox>
                  <w:txbxContent>
                    <w:p w:rsidR="00D53D39" w:rsidRPr="00D53D39" w:rsidRDefault="00D53D39" w:rsidP="00D53D39">
                      <w:pPr>
                        <w:pStyle w:val="Title"/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53D39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Grade: First</w:t>
                      </w:r>
                    </w:p>
                    <w:p w:rsidR="00D53D39" w:rsidRPr="00D53D39" w:rsidRDefault="00D53D39" w:rsidP="00D53D39">
                      <w:pPr>
                        <w:pStyle w:val="Title"/>
                        <w:jc w:val="center"/>
                        <w:rPr>
                          <w:rFonts w:ascii="Calibri" w:hAnsi="Calibri"/>
                          <w:b/>
                          <w:sz w:val="48"/>
                          <w:szCs w:val="48"/>
                        </w:rPr>
                      </w:pPr>
                      <w:r w:rsidRPr="00D53D39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Reading Workshop Curriculum Map: 2015-2016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1"/>
        <w:tblpPr w:leftFromText="180" w:rightFromText="180" w:horzAnchor="margin" w:tblpY="960"/>
        <w:tblW w:w="5000" w:type="pct"/>
        <w:tblLook w:val="04A0" w:firstRow="1" w:lastRow="0" w:firstColumn="1" w:lastColumn="0" w:noHBand="0" w:noVBand="1"/>
      </w:tblPr>
      <w:tblGrid>
        <w:gridCol w:w="994"/>
        <w:gridCol w:w="3220"/>
        <w:gridCol w:w="3393"/>
        <w:gridCol w:w="3393"/>
        <w:gridCol w:w="3390"/>
      </w:tblGrid>
      <w:tr w:rsidR="00D53D39" w:rsidRPr="00D53D39" w:rsidTr="00D53D39">
        <w:tc>
          <w:tcPr>
            <w:tcW w:w="345" w:type="pct"/>
            <w:shd w:val="clear" w:color="auto" w:fill="D9D9D9"/>
          </w:tcPr>
          <w:p w:rsidR="00D53D39" w:rsidRPr="00D53D39" w:rsidRDefault="00D53D39" w:rsidP="00D53D39">
            <w:pPr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D53D39">
              <w:rPr>
                <w:rFonts w:ascii="Calibri" w:eastAsia="Calibri" w:hAnsi="Calibri" w:cs="Times New Roman"/>
                <w:b/>
                <w:sz w:val="24"/>
              </w:rPr>
              <w:t xml:space="preserve">Unit(s) </w:t>
            </w:r>
          </w:p>
        </w:tc>
        <w:tc>
          <w:tcPr>
            <w:tcW w:w="1119" w:type="pct"/>
            <w:shd w:val="clear" w:color="auto" w:fill="D9D9D9"/>
          </w:tcPr>
          <w:p w:rsidR="00D53D39" w:rsidRPr="00D53D39" w:rsidRDefault="00D53D39" w:rsidP="00D53D39">
            <w:pPr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D53D39">
              <w:rPr>
                <w:rFonts w:ascii="Calibri" w:eastAsia="Calibri" w:hAnsi="Calibri" w:cs="Times New Roman"/>
                <w:b/>
                <w:sz w:val="24"/>
              </w:rPr>
              <w:t>Unit 1: Launching Reader’s Workshop</w:t>
            </w:r>
          </w:p>
        </w:tc>
        <w:tc>
          <w:tcPr>
            <w:tcW w:w="1179" w:type="pct"/>
            <w:shd w:val="clear" w:color="auto" w:fill="D9D9D9"/>
          </w:tcPr>
          <w:p w:rsidR="00D53D39" w:rsidRPr="00D53D39" w:rsidRDefault="00D53D39" w:rsidP="00D53D39">
            <w:pPr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D53D39">
              <w:rPr>
                <w:rFonts w:ascii="Calibri" w:eastAsia="Calibri" w:hAnsi="Calibri" w:cs="Times New Roman"/>
                <w:b/>
                <w:sz w:val="24"/>
              </w:rPr>
              <w:t>Unit 2: Narratives &amp; Small Moments</w:t>
            </w:r>
          </w:p>
        </w:tc>
        <w:tc>
          <w:tcPr>
            <w:tcW w:w="1179" w:type="pct"/>
            <w:shd w:val="clear" w:color="auto" w:fill="D9D9D9"/>
          </w:tcPr>
          <w:p w:rsidR="00D53D39" w:rsidRPr="00D53D39" w:rsidRDefault="00D53D39" w:rsidP="00D53D39">
            <w:pPr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D53D39">
              <w:rPr>
                <w:rFonts w:ascii="Calibri" w:eastAsia="Calibri" w:hAnsi="Calibri" w:cs="Times New Roman"/>
                <w:b/>
                <w:sz w:val="24"/>
              </w:rPr>
              <w:t xml:space="preserve">Unit 3: Informational Reports </w:t>
            </w:r>
          </w:p>
        </w:tc>
        <w:tc>
          <w:tcPr>
            <w:tcW w:w="1178" w:type="pct"/>
            <w:shd w:val="clear" w:color="auto" w:fill="D9D9D9"/>
          </w:tcPr>
          <w:p w:rsidR="00D53D39" w:rsidRPr="00D53D39" w:rsidRDefault="00D53D39" w:rsidP="00D53D39">
            <w:pPr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D53D39">
              <w:rPr>
                <w:rFonts w:ascii="Calibri" w:eastAsia="Calibri" w:hAnsi="Calibri" w:cs="Times New Roman"/>
                <w:b/>
                <w:sz w:val="24"/>
              </w:rPr>
              <w:t xml:space="preserve">Unit 4: Book Reviews </w:t>
            </w:r>
          </w:p>
          <w:p w:rsidR="00D53D39" w:rsidRPr="00D53D39" w:rsidRDefault="00D53D39" w:rsidP="00D53D39">
            <w:pPr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D53D39">
              <w:rPr>
                <w:rFonts w:ascii="Calibri" w:eastAsia="Calibri" w:hAnsi="Calibri" w:cs="Times New Roman"/>
                <w:b/>
                <w:sz w:val="24"/>
              </w:rPr>
              <w:t xml:space="preserve">Author Study </w:t>
            </w:r>
          </w:p>
        </w:tc>
      </w:tr>
      <w:tr w:rsidR="00D53D39" w:rsidRPr="00D53D39" w:rsidTr="00D53D39">
        <w:trPr>
          <w:cantSplit/>
          <w:trHeight w:val="1134"/>
        </w:trPr>
        <w:tc>
          <w:tcPr>
            <w:tcW w:w="345" w:type="pct"/>
            <w:shd w:val="clear" w:color="auto" w:fill="D9D9D9"/>
            <w:textDirection w:val="btLr"/>
          </w:tcPr>
          <w:p w:rsidR="00D53D39" w:rsidRPr="00D53D39" w:rsidRDefault="00D53D39" w:rsidP="00D53D39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8"/>
              </w:rPr>
            </w:pPr>
            <w:r w:rsidRPr="00D53D39">
              <w:rPr>
                <w:rFonts w:ascii="Calibri" w:eastAsia="Calibri" w:hAnsi="Calibri" w:cs="Times New Roman"/>
                <w:b/>
                <w:sz w:val="24"/>
                <w:szCs w:val="28"/>
              </w:rPr>
              <w:t>Concepts</w:t>
            </w:r>
          </w:p>
        </w:tc>
        <w:tc>
          <w:tcPr>
            <w:tcW w:w="1119" w:type="pct"/>
            <w:shd w:val="clear" w:color="auto" w:fill="D9D9D9"/>
          </w:tcPr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Story structures, role of the author, monitoring fluency, reading workshop and writing workshop routines and rituals, picture walks, independent reading structures, what good readers do</w:t>
            </w:r>
          </w:p>
        </w:tc>
        <w:tc>
          <w:tcPr>
            <w:tcW w:w="1179" w:type="pct"/>
            <w:shd w:val="clear" w:color="auto" w:fill="D9D9D9"/>
          </w:tcPr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 xml:space="preserve">Understanding structure of personal narrative, learning to write about small moments 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1179" w:type="pct"/>
            <w:shd w:val="clear" w:color="auto" w:fill="D9D9D9"/>
          </w:tcPr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 xml:space="preserve">Nonfiction text structure, nonfiction text and graphic features, writing about research, using text features to enhance writing, the writing process </w:t>
            </w:r>
          </w:p>
        </w:tc>
        <w:tc>
          <w:tcPr>
            <w:tcW w:w="1178" w:type="pct"/>
            <w:shd w:val="clear" w:color="auto" w:fill="D9D9D9"/>
          </w:tcPr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 xml:space="preserve">Comparing and contrasting an author’s work, identifying authors’ writing techniques, responding to books, write stories, opinion pieces, and letters to the editor </w:t>
            </w:r>
          </w:p>
        </w:tc>
      </w:tr>
      <w:tr w:rsidR="00D53D39" w:rsidRPr="00D53D39" w:rsidTr="00D53D39">
        <w:trPr>
          <w:cantSplit/>
          <w:trHeight w:val="1134"/>
        </w:trPr>
        <w:tc>
          <w:tcPr>
            <w:tcW w:w="345" w:type="pct"/>
            <w:shd w:val="clear" w:color="auto" w:fill="D9D9D9"/>
            <w:textDirection w:val="btLr"/>
          </w:tcPr>
          <w:p w:rsidR="00D53D39" w:rsidRPr="00D53D39" w:rsidRDefault="00D53D39" w:rsidP="00D53D39">
            <w:pPr>
              <w:ind w:left="360" w:right="113"/>
              <w:jc w:val="center"/>
              <w:rPr>
                <w:rFonts w:ascii="Calibri" w:eastAsia="Calibri" w:hAnsi="Calibri" w:cs="Times New Roman"/>
                <w:b/>
                <w:sz w:val="24"/>
                <w:szCs w:val="28"/>
              </w:rPr>
            </w:pPr>
            <w:r w:rsidRPr="00D53D39">
              <w:rPr>
                <w:rFonts w:ascii="Calibri" w:eastAsia="Calibri" w:hAnsi="Calibri" w:cs="Times New Roman"/>
                <w:b/>
                <w:sz w:val="24"/>
                <w:szCs w:val="28"/>
              </w:rPr>
              <w:t>Essential Questions</w:t>
            </w:r>
          </w:p>
        </w:tc>
        <w:tc>
          <w:tcPr>
            <w:tcW w:w="1119" w:type="pct"/>
          </w:tcPr>
          <w:p w:rsidR="00D53D39" w:rsidRPr="00D53D39" w:rsidRDefault="00D53D39" w:rsidP="00D53D3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What are the structures of reading and writing workshops?</w:t>
            </w:r>
          </w:p>
          <w:p w:rsidR="00D53D39" w:rsidRPr="00D53D39" w:rsidRDefault="00D53D39" w:rsidP="00D53D3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What routines and rituals does my classroom have in place during this instructional time?</w:t>
            </w:r>
          </w:p>
          <w:p w:rsidR="00D53D39" w:rsidRPr="00D53D39" w:rsidRDefault="00D53D39" w:rsidP="00D53D3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What are things that good readers and writers do?</w:t>
            </w:r>
          </w:p>
        </w:tc>
        <w:tc>
          <w:tcPr>
            <w:tcW w:w="1179" w:type="pct"/>
          </w:tcPr>
          <w:p w:rsidR="00D53D39" w:rsidRPr="00D53D39" w:rsidRDefault="00D53D39" w:rsidP="00D53D39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What are narratives?</w:t>
            </w:r>
          </w:p>
          <w:p w:rsidR="00D53D39" w:rsidRPr="00D53D39" w:rsidRDefault="00D53D39" w:rsidP="00D53D39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What strategies do I know to help me read books?</w:t>
            </w:r>
          </w:p>
          <w:p w:rsidR="00D53D39" w:rsidRPr="00D53D39" w:rsidRDefault="00D53D39" w:rsidP="00D53D39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How do I describe familiar things and people? How do I describe my favorite characters?</w:t>
            </w:r>
          </w:p>
        </w:tc>
        <w:tc>
          <w:tcPr>
            <w:tcW w:w="1179" w:type="pct"/>
          </w:tcPr>
          <w:p w:rsidR="00D53D39" w:rsidRPr="00D53D39" w:rsidRDefault="00D53D39" w:rsidP="00D53D39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 xml:space="preserve">How do you keep track when you learn something new? </w:t>
            </w:r>
          </w:p>
          <w:p w:rsidR="00D53D39" w:rsidRPr="00D53D39" w:rsidRDefault="00D53D39" w:rsidP="00D53D39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Can you find evidence for your facts in one text? Two?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1178" w:type="pct"/>
          </w:tcPr>
          <w:p w:rsidR="00D53D39" w:rsidRPr="00D53D39" w:rsidRDefault="00D53D39" w:rsidP="00D53D39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What does it mean to retell stories?</w:t>
            </w:r>
          </w:p>
          <w:p w:rsidR="00D53D39" w:rsidRPr="00D53D39" w:rsidRDefault="00D53D39" w:rsidP="00D53D39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How can I use writing techniques authors use in my own writing?</w:t>
            </w:r>
          </w:p>
        </w:tc>
      </w:tr>
      <w:tr w:rsidR="00D53D39" w:rsidRPr="00D53D39" w:rsidTr="00D53D39">
        <w:trPr>
          <w:cantSplit/>
          <w:trHeight w:val="1134"/>
        </w:trPr>
        <w:tc>
          <w:tcPr>
            <w:tcW w:w="345" w:type="pct"/>
            <w:shd w:val="clear" w:color="auto" w:fill="D9D9D9"/>
            <w:textDirection w:val="btLr"/>
          </w:tcPr>
          <w:p w:rsidR="00D53D39" w:rsidRPr="00D53D39" w:rsidRDefault="00D53D39" w:rsidP="00D53D39">
            <w:pPr>
              <w:ind w:left="360" w:right="113"/>
              <w:jc w:val="center"/>
              <w:rPr>
                <w:rFonts w:ascii="Calibri" w:eastAsia="Calibri" w:hAnsi="Calibri" w:cs="Times New Roman"/>
                <w:b/>
                <w:sz w:val="24"/>
                <w:szCs w:val="40"/>
              </w:rPr>
            </w:pPr>
            <w:r w:rsidRPr="00D53D39">
              <w:rPr>
                <w:rFonts w:ascii="Calibri" w:eastAsia="Calibri" w:hAnsi="Calibri" w:cs="Times New Roman"/>
                <w:b/>
                <w:sz w:val="24"/>
                <w:szCs w:val="40"/>
              </w:rPr>
              <w:t>Key Knowledge</w:t>
            </w:r>
          </w:p>
        </w:tc>
        <w:tc>
          <w:tcPr>
            <w:tcW w:w="1119" w:type="pct"/>
          </w:tcPr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-View themselves as readers and members of a diverse community of readers.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-Know what good readers do.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-Develop fluency and reading strategies to both decode and comprehend.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 xml:space="preserve">-Listen to, respond to, and discuss literature from a </w:t>
            </w:r>
            <w:r w:rsidRPr="00D53D39">
              <w:rPr>
                <w:rFonts w:ascii="Calibri" w:eastAsia="Calibri" w:hAnsi="Calibri" w:cs="Times New Roman"/>
                <w:sz w:val="24"/>
              </w:rPr>
              <w:lastRenderedPageBreak/>
              <w:t>variety of cultures with partners and in small groups.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-Use classroom rituals and routines to work independently and with others.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-Recognize and honor story structures of diverse cultures.</w:t>
            </w:r>
          </w:p>
        </w:tc>
        <w:tc>
          <w:tcPr>
            <w:tcW w:w="1179" w:type="pct"/>
          </w:tcPr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lastRenderedPageBreak/>
              <w:t>-Continue to develop reading strategies to decode and comprehend.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-Give evidence that they follow meaning of what they read.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-Develop accountable talk skills of talking and listening to one another.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lastRenderedPageBreak/>
              <w:t>-Solve reading problems and self-correct.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-Talk about characters’ motives.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-Retell in correct sequence stories with simple narrative structure.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-Read personal narratives and identify attributes for personal narrative</w:t>
            </w:r>
            <w:bookmarkStart w:id="0" w:name="_GoBack"/>
            <w:bookmarkEnd w:id="0"/>
            <w:r w:rsidRPr="00D53D39">
              <w:rPr>
                <w:rFonts w:ascii="Calibri" w:eastAsia="Calibri" w:hAnsi="Calibri" w:cs="Times New Roman"/>
                <w:sz w:val="24"/>
              </w:rPr>
              <w:t xml:space="preserve"> writing.</w:t>
            </w:r>
          </w:p>
        </w:tc>
        <w:tc>
          <w:tcPr>
            <w:tcW w:w="1179" w:type="pct"/>
          </w:tcPr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lastRenderedPageBreak/>
              <w:t>-Explore differences between fiction and nonfiction.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-Use organizational structures, text features, and genre language to understand nonfiction and access information.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-Use nonfiction comprehension strategies: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lastRenderedPageBreak/>
              <w:t>• Activate background knowledge.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• Wonder.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• Question.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• Visualize.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• Determine text importance.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-Identify what they learn from reading nonfiction.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-Study nonfiction text features and purposes for which they are used.</w:t>
            </w:r>
          </w:p>
        </w:tc>
        <w:tc>
          <w:tcPr>
            <w:tcW w:w="1178" w:type="pct"/>
          </w:tcPr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lastRenderedPageBreak/>
              <w:t>-Explore work and life of one author.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-Compare and contrast themes, characters, and language from multiple works by that author.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-Use connections and wonderings to understand text meaning.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lastRenderedPageBreak/>
              <w:t>-Respond in writing to author’s work, including retelling and giving opinions about the work.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-Study this author’s literary techniques.</w:t>
            </w:r>
          </w:p>
        </w:tc>
      </w:tr>
      <w:tr w:rsidR="00D53D39" w:rsidRPr="00D53D39" w:rsidTr="00D53D39">
        <w:trPr>
          <w:cantSplit/>
          <w:trHeight w:val="1134"/>
        </w:trPr>
        <w:tc>
          <w:tcPr>
            <w:tcW w:w="345" w:type="pct"/>
            <w:shd w:val="clear" w:color="auto" w:fill="D9D9D9"/>
            <w:textDirection w:val="btLr"/>
          </w:tcPr>
          <w:p w:rsidR="00D53D39" w:rsidRPr="00D53D39" w:rsidRDefault="00D53D39" w:rsidP="00D53D39">
            <w:pPr>
              <w:ind w:left="360" w:right="113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40"/>
              </w:rPr>
            </w:pPr>
            <w:r w:rsidRPr="00D53D39">
              <w:rPr>
                <w:rFonts w:ascii="Calibri" w:eastAsia="Calibri" w:hAnsi="Calibri" w:cs="Times New Roman"/>
                <w:b/>
                <w:sz w:val="24"/>
                <w:szCs w:val="40"/>
              </w:rPr>
              <w:lastRenderedPageBreak/>
              <w:t>Skills and  Strategies</w:t>
            </w:r>
          </w:p>
        </w:tc>
        <w:tc>
          <w:tcPr>
            <w:tcW w:w="1119" w:type="pct"/>
          </w:tcPr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-Make inferences based on text evidence.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-Make connections.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-Use fix-up monitoring reading strategies.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-Turn and Talk.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-Take picture walks.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-Do what good readers do: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 xml:space="preserve">  Read a lot.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 xml:space="preserve">  Read daily.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 xml:space="preserve">  Talk about what they read.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 xml:space="preserve">  Learn letters and sounds.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 xml:space="preserve">  Learn words.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 xml:space="preserve">  Look at pictures.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 xml:space="preserve">  Think about stories.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 xml:space="preserve">  Practice reading strategies   during independent reading time.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-Make inferences.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-Determine main ideas and key details.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-Analyze text structure.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-Create reading charts.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lastRenderedPageBreak/>
              <w:t>-Use text features and picture cues to search for meaning.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-Select books to read during independent reading time.</w:t>
            </w:r>
          </w:p>
        </w:tc>
        <w:tc>
          <w:tcPr>
            <w:tcW w:w="1179" w:type="pct"/>
          </w:tcPr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lastRenderedPageBreak/>
              <w:t>-Ask questions.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-Make connections.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-Visualize.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-Make inferences based on text evidence.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-Reread.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-Use fix-up monitoring reading strategies.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-Use beginning reading strategies: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• Look at pictures.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• Think about stories.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• Say beginning sounds and slide through words.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• Stop and think.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-Determine main ideas and key details.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-Analyze characters and motives.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-Analyze text structure and organization.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lastRenderedPageBreak/>
              <w:t>-Describe story elements, such as characters, settings, and major events.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-Make predictions.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-Make inferences.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-Distinguish between facts and opinions.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-Draw conclusions.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-Identify sequences of events.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-Retell stories using key details.</w:t>
            </w:r>
          </w:p>
          <w:p w:rsidR="00D53D39" w:rsidRPr="00D53D39" w:rsidRDefault="00D53D39" w:rsidP="00D53D3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</w:rPr>
            </w:pPr>
            <w:r w:rsidRPr="00D53D39">
              <w:rPr>
                <w:rFonts w:ascii="Calibri" w:eastAsia="Calibri" w:hAnsi="Calibri" w:cs="Calibri"/>
                <w:color w:val="000000"/>
                <w:sz w:val="24"/>
              </w:rPr>
              <w:t>-Identify authors’ points of view.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1179" w:type="pct"/>
          </w:tcPr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lastRenderedPageBreak/>
              <w:t>-Use fix-up monitoring reading strategies.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-Make inferences based on text evidence.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-Summarize.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-Activate background knowledge.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-Wonder.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-Question.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-Visualize.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-Determine text importance.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-Analyze text structure and organization.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-Use text and graphic features.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-Determine main ideas and key details.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-Analyze and compare fiction and nonfiction texts.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-Determine authors’ purposes.</w:t>
            </w:r>
          </w:p>
        </w:tc>
        <w:tc>
          <w:tcPr>
            <w:tcW w:w="1178" w:type="pct"/>
          </w:tcPr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-Make inferences based on text evidence.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-Make connections.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 xml:space="preserve"> -Wonder.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-Ask questions.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-Determine text importance.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-Analyze and compare information.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-Compare and contrast characters, themes, and multiple stories by the same author.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-Retell.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-Use accountable talk.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-Determine main ideas and key details.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-Analyze characters.</w:t>
            </w:r>
          </w:p>
          <w:p w:rsidR="00D53D39" w:rsidRPr="00D53D39" w:rsidRDefault="00D53D39" w:rsidP="00D53D3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-Analyze text structure and organization.</w:t>
            </w:r>
          </w:p>
        </w:tc>
      </w:tr>
      <w:tr w:rsidR="00D53D39" w:rsidRPr="00D53D39" w:rsidTr="00D53D39">
        <w:trPr>
          <w:cantSplit/>
          <w:trHeight w:val="1134"/>
        </w:trPr>
        <w:tc>
          <w:tcPr>
            <w:tcW w:w="345" w:type="pct"/>
            <w:shd w:val="clear" w:color="auto" w:fill="D9D9D9"/>
            <w:textDirection w:val="btLr"/>
          </w:tcPr>
          <w:p w:rsidR="00D53D39" w:rsidRPr="00D53D39" w:rsidRDefault="00D53D39" w:rsidP="00D53D39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32"/>
              </w:rPr>
            </w:pPr>
            <w:r w:rsidRPr="00D53D39">
              <w:rPr>
                <w:rFonts w:ascii="Calibri" w:eastAsia="Calibri" w:hAnsi="Calibri" w:cs="Times New Roman"/>
                <w:b/>
                <w:sz w:val="24"/>
                <w:szCs w:val="32"/>
              </w:rPr>
              <w:lastRenderedPageBreak/>
              <w:t>Common Core Learning Standards</w:t>
            </w:r>
          </w:p>
        </w:tc>
        <w:tc>
          <w:tcPr>
            <w:tcW w:w="1119" w:type="pct"/>
          </w:tcPr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RL.1.1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RL.1.3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RL.1.4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RL.1.5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RF.1.1a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RF.1.2 (a-d)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RF.1.3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SL.1.1 (a-c)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SL.1.2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SL.1.3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L.1.1 (a-j)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L.1.2 (a-e)</w:t>
            </w:r>
          </w:p>
        </w:tc>
        <w:tc>
          <w:tcPr>
            <w:tcW w:w="1179" w:type="pct"/>
          </w:tcPr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RL.1.1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RL.1.2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RL.1.3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RL.1.7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RF.1.1a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RF.1.3 (a-g)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RF.1.4 (a-c)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SL.1.1 (a-c)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SL.1.2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SL.1.4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SL.1.5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SL.1.6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L.1.1 (a-j)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L.1.2 (a-e)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L.1.5 (a-d)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1179" w:type="pct"/>
          </w:tcPr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RL.1.1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RL.1.2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RL.1.5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RL.1.6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RL.1.7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RL.1.10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RF.1.2 (a-d)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RF.1.3 (a-g)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RF.1.4 (a-c)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SL.1.1 (a-c)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SL.1.2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L.1.1 (a-j)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L.1.2 (a-e)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L.1.4 (a-c)</w:t>
            </w:r>
          </w:p>
        </w:tc>
        <w:tc>
          <w:tcPr>
            <w:tcW w:w="1178" w:type="pct"/>
          </w:tcPr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RL.1.1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RL.1.2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RL.1.3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RF.1.3 (a-g)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RF.1.4 (a-c)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SL.1.1 (a-c)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SL.1.3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SL.1.6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L.1.1 (a-j)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L.1.2 (a-e)</w:t>
            </w:r>
          </w:p>
          <w:p w:rsidR="00D53D39" w:rsidRPr="00D53D39" w:rsidRDefault="00D53D39" w:rsidP="00D53D39">
            <w:pPr>
              <w:rPr>
                <w:rFonts w:ascii="Calibri" w:eastAsia="Calibri" w:hAnsi="Calibri" w:cs="Times New Roman"/>
                <w:sz w:val="24"/>
              </w:rPr>
            </w:pPr>
            <w:r w:rsidRPr="00D53D39">
              <w:rPr>
                <w:rFonts w:ascii="Calibri" w:eastAsia="Calibri" w:hAnsi="Calibri" w:cs="Times New Roman"/>
                <w:sz w:val="24"/>
              </w:rPr>
              <w:t>L.1.4 (a-c)</w:t>
            </w:r>
          </w:p>
        </w:tc>
      </w:tr>
    </w:tbl>
    <w:p w:rsidR="00C31583" w:rsidRDefault="00C31583"/>
    <w:sectPr w:rsidR="00C31583" w:rsidSect="00D53D39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B08" w:rsidRDefault="005E1B08" w:rsidP="00D53D39">
      <w:pPr>
        <w:spacing w:after="0" w:line="240" w:lineRule="auto"/>
      </w:pPr>
      <w:r>
        <w:separator/>
      </w:r>
    </w:p>
  </w:endnote>
  <w:endnote w:type="continuationSeparator" w:id="0">
    <w:p w:rsidR="005E1B08" w:rsidRDefault="005E1B08" w:rsidP="00D53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13680"/>
      <w:gridCol w:w="720"/>
    </w:tblGrid>
    <w:tr w:rsidR="00D53D39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000000" w:themeColor="text1"/>
            </w:rPr>
            <w:alias w:val="Author"/>
            <w:tag w:val=""/>
            <w:id w:val="1534539408"/>
            <w:placeholder>
              <w:docPart w:val="26698C41C5224DAC96CA613421373BD0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D53D39" w:rsidRDefault="00E61F86" w:rsidP="00D53D39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000000" w:themeColor="text1"/>
                </w:rPr>
                <w:t>community school 300 * 2050 prospect avenue * bronx, ny 10457 * tel. 718-584-6310 * facsimile 718-220-1370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D53D39" w:rsidRDefault="00D53D39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E61F86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D53D39" w:rsidRDefault="00D53D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B08" w:rsidRDefault="005E1B08" w:rsidP="00D53D39">
      <w:pPr>
        <w:spacing w:after="0" w:line="240" w:lineRule="auto"/>
      </w:pPr>
      <w:r>
        <w:separator/>
      </w:r>
    </w:p>
  </w:footnote>
  <w:footnote w:type="continuationSeparator" w:id="0">
    <w:p w:rsidR="005E1B08" w:rsidRDefault="005E1B08" w:rsidP="00D53D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455683"/>
    <w:multiLevelType w:val="hybridMultilevel"/>
    <w:tmpl w:val="7A2EA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76CE8"/>
    <w:multiLevelType w:val="hybridMultilevel"/>
    <w:tmpl w:val="7A2EA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85655"/>
    <w:multiLevelType w:val="hybridMultilevel"/>
    <w:tmpl w:val="8DF45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1B224E"/>
    <w:multiLevelType w:val="hybridMultilevel"/>
    <w:tmpl w:val="885A8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D39"/>
    <w:rsid w:val="005E1B08"/>
    <w:rsid w:val="00C31583"/>
    <w:rsid w:val="00D53D39"/>
    <w:rsid w:val="00E6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DC7B05-77B9-4772-B282-1A39FF47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53D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3D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">
    <w:name w:val="Table Grid1"/>
    <w:basedOn w:val="TableNormal"/>
    <w:next w:val="TableGrid"/>
    <w:uiPriority w:val="59"/>
    <w:rsid w:val="00D5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5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3D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D39"/>
  </w:style>
  <w:style w:type="paragraph" w:styleId="Footer">
    <w:name w:val="footer"/>
    <w:basedOn w:val="Normal"/>
    <w:link w:val="FooterChar"/>
    <w:uiPriority w:val="99"/>
    <w:unhideWhenUsed/>
    <w:rsid w:val="00D53D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6698C41C5224DAC96CA613421373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5A682-AC6E-451C-A3D2-52A586D724E1}"/>
      </w:docPartPr>
      <w:docPartBody>
        <w:p w:rsidR="00000000" w:rsidRDefault="002F4093" w:rsidP="002F4093">
          <w:pPr>
            <w:pStyle w:val="26698C41C5224DAC96CA613421373BD0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093"/>
    <w:rsid w:val="0019676C"/>
    <w:rsid w:val="002F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6698C41C5224DAC96CA613421373BD0">
    <w:name w:val="26698C41C5224DAC96CA613421373BD0"/>
    <w:rsid w:val="002F40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community school 300 * 2050 prospect avenue * bronx, ny 10457 * tel. 718-584-6310 * facsimile 718-220-1370</dc:creator>
  <cp:keywords/>
  <dc:description/>
  <cp:lastModifiedBy>Olga Fotinis</cp:lastModifiedBy>
  <cp:revision>2</cp:revision>
  <dcterms:created xsi:type="dcterms:W3CDTF">2015-08-11T16:15:00Z</dcterms:created>
  <dcterms:modified xsi:type="dcterms:W3CDTF">2015-08-11T16:17:00Z</dcterms:modified>
</cp:coreProperties>
</file>